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5FBF0" w14:textId="77777777" w:rsidR="003865BF" w:rsidRPr="003865BF" w:rsidRDefault="003865BF" w:rsidP="003865BF">
      <w:pPr>
        <w:widowControl/>
        <w:spacing w:before="100" w:beforeAutospacing="1" w:after="100" w:afterAutospacing="1"/>
        <w:jc w:val="center"/>
        <w:rPr>
          <w:rFonts w:ascii="宋体" w:hAnsi="宋体" w:cs="宋体"/>
          <w:kern w:val="0"/>
          <w:sz w:val="24"/>
          <w:szCs w:val="24"/>
        </w:rPr>
      </w:pPr>
      <w:r w:rsidRPr="003865BF">
        <w:rPr>
          <w:rFonts w:ascii="宋体" w:hAnsi="宋体" w:cs="宋体"/>
          <w:b/>
          <w:bCs/>
          <w:kern w:val="0"/>
          <w:sz w:val="30"/>
          <w:szCs w:val="30"/>
        </w:rPr>
        <w:t>中华人民共和国应急管理部令</w:t>
      </w:r>
    </w:p>
    <w:p w14:paraId="152F1A7B" w14:textId="77777777" w:rsidR="003865BF" w:rsidRPr="003865BF" w:rsidRDefault="003865BF" w:rsidP="003865BF">
      <w:pPr>
        <w:widowControl/>
        <w:spacing w:before="100" w:beforeAutospacing="1" w:after="100" w:afterAutospacing="1"/>
        <w:jc w:val="center"/>
        <w:rPr>
          <w:rFonts w:ascii="宋体" w:hAnsi="宋体" w:cs="宋体"/>
          <w:kern w:val="0"/>
          <w:sz w:val="24"/>
          <w:szCs w:val="24"/>
        </w:rPr>
      </w:pPr>
      <w:r w:rsidRPr="003865BF">
        <w:rPr>
          <w:rFonts w:ascii="宋体" w:hAnsi="宋体" w:cs="宋体" w:hint="eastAsia"/>
          <w:kern w:val="0"/>
          <w:sz w:val="24"/>
          <w:szCs w:val="24"/>
        </w:rPr>
        <w:t>第　4　号</w:t>
      </w:r>
    </w:p>
    <w:p w14:paraId="4B179090"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《煤矿重大事故隐患判定标准》已经2020年11月2日应急管理部第31次部务会议审议通过，现予公布，自2021年1月1日起施行。</w:t>
      </w:r>
    </w:p>
    <w:p w14:paraId="6211C0C6" w14:textId="77777777" w:rsidR="003865BF" w:rsidRPr="003865BF" w:rsidRDefault="003865BF" w:rsidP="003865BF">
      <w:pPr>
        <w:widowControl/>
        <w:spacing w:before="100" w:beforeAutospacing="1" w:after="100" w:afterAutospacing="1"/>
        <w:jc w:val="right"/>
        <w:rPr>
          <w:rFonts w:ascii="宋体" w:hAnsi="宋体" w:cs="宋体"/>
          <w:kern w:val="0"/>
          <w:sz w:val="24"/>
          <w:szCs w:val="24"/>
        </w:rPr>
      </w:pPr>
      <w:r w:rsidRPr="003865BF">
        <w:rPr>
          <w:rFonts w:ascii="宋体" w:hAnsi="宋体" w:cs="宋体"/>
          <w:kern w:val="0"/>
          <w:sz w:val="24"/>
          <w:szCs w:val="24"/>
        </w:rPr>
        <w:t xml:space="preserve">部 </w:t>
      </w:r>
      <w:proofErr w:type="gramStart"/>
      <w:r w:rsidRPr="003865BF">
        <w:rPr>
          <w:rFonts w:ascii="宋体" w:hAnsi="宋体" w:cs="宋体"/>
          <w:kern w:val="0"/>
          <w:sz w:val="24"/>
          <w:szCs w:val="24"/>
        </w:rPr>
        <w:t xml:space="preserve">长　　</w:t>
      </w:r>
      <w:proofErr w:type="gramEnd"/>
      <w:r w:rsidRPr="003865BF">
        <w:rPr>
          <w:rFonts w:ascii="宋体" w:hAnsi="宋体" w:cs="宋体"/>
          <w:kern w:val="0"/>
          <w:sz w:val="24"/>
          <w:szCs w:val="24"/>
        </w:rPr>
        <w:t>王玉普</w:t>
      </w:r>
    </w:p>
    <w:p w14:paraId="5E1D4B50" w14:textId="77777777" w:rsidR="003865BF" w:rsidRPr="003865BF" w:rsidRDefault="003865BF" w:rsidP="003865BF">
      <w:pPr>
        <w:widowControl/>
        <w:spacing w:before="100" w:beforeAutospacing="1" w:after="100" w:afterAutospacing="1"/>
        <w:jc w:val="right"/>
        <w:rPr>
          <w:rFonts w:ascii="宋体" w:hAnsi="宋体" w:cs="宋体"/>
          <w:kern w:val="0"/>
          <w:sz w:val="24"/>
          <w:szCs w:val="24"/>
        </w:rPr>
      </w:pPr>
      <w:r w:rsidRPr="003865BF">
        <w:rPr>
          <w:rFonts w:ascii="宋体" w:hAnsi="宋体" w:cs="宋体"/>
          <w:kern w:val="0"/>
          <w:sz w:val="24"/>
          <w:szCs w:val="24"/>
        </w:rPr>
        <w:t>2020年11月20日</w:t>
      </w:r>
    </w:p>
    <w:p w14:paraId="24DF1EAC" w14:textId="77777777" w:rsidR="003865BF" w:rsidRPr="003865BF" w:rsidRDefault="003865BF" w:rsidP="003865BF">
      <w:pPr>
        <w:widowControl/>
        <w:spacing w:before="100" w:beforeAutospacing="1" w:after="100" w:afterAutospacing="1"/>
        <w:jc w:val="center"/>
        <w:rPr>
          <w:rFonts w:ascii="宋体" w:hAnsi="宋体" w:cs="宋体"/>
          <w:kern w:val="0"/>
          <w:sz w:val="24"/>
          <w:szCs w:val="24"/>
        </w:rPr>
      </w:pPr>
      <w:r w:rsidRPr="003865BF">
        <w:rPr>
          <w:rFonts w:ascii="宋体" w:hAnsi="宋体" w:cs="宋体"/>
          <w:b/>
          <w:bCs/>
          <w:kern w:val="0"/>
          <w:sz w:val="30"/>
          <w:szCs w:val="30"/>
        </w:rPr>
        <w:t>煤矿重大事故隐患判定标准</w:t>
      </w:r>
    </w:p>
    <w:p w14:paraId="1EA86176"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b/>
          <w:bCs/>
          <w:kern w:val="0"/>
          <w:sz w:val="24"/>
          <w:szCs w:val="24"/>
        </w:rPr>
        <w:t>第一条</w:t>
      </w:r>
      <w:r w:rsidRPr="003865BF">
        <w:rPr>
          <w:rFonts w:ascii="宋体" w:hAnsi="宋体" w:cs="宋体"/>
          <w:kern w:val="0"/>
          <w:sz w:val="24"/>
          <w:szCs w:val="24"/>
        </w:rPr>
        <w:t xml:space="preserve">　为了准确认定、及时消除煤矿重大事故隐患，根据《中华人民共和国安全生产法》和《国务院关于预防煤矿生产安全事故的特别规定》（国务院令第446号）等法律、行政法规，制定本标准。</w:t>
      </w:r>
    </w:p>
    <w:p w14:paraId="3CAFAF74"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b/>
          <w:bCs/>
          <w:kern w:val="0"/>
          <w:sz w:val="24"/>
          <w:szCs w:val="24"/>
        </w:rPr>
        <w:t>第二条</w:t>
      </w:r>
      <w:r w:rsidRPr="003865BF">
        <w:rPr>
          <w:rFonts w:ascii="宋体" w:hAnsi="宋体" w:cs="宋体"/>
          <w:kern w:val="0"/>
          <w:sz w:val="24"/>
          <w:szCs w:val="24"/>
        </w:rPr>
        <w:t xml:space="preserve">　本标准适用于判定各类煤矿重大事故隐患。</w:t>
      </w:r>
    </w:p>
    <w:p w14:paraId="3AEAC8D6"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b/>
          <w:bCs/>
          <w:kern w:val="0"/>
          <w:sz w:val="24"/>
          <w:szCs w:val="24"/>
        </w:rPr>
        <w:t>第三条</w:t>
      </w:r>
      <w:r w:rsidRPr="003865BF">
        <w:rPr>
          <w:rFonts w:ascii="宋体" w:hAnsi="宋体" w:cs="宋体"/>
          <w:kern w:val="0"/>
          <w:sz w:val="24"/>
          <w:szCs w:val="24"/>
        </w:rPr>
        <w:t xml:space="preserve">　煤矿重大事故隐患包括下列15个方面：</w:t>
      </w:r>
    </w:p>
    <w:p w14:paraId="5C278F75"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（一）超能力、超强度或者超定员组织生产；</w:t>
      </w:r>
    </w:p>
    <w:p w14:paraId="74B773E9"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（二）瓦斯超限作业；</w:t>
      </w:r>
    </w:p>
    <w:p w14:paraId="3CE6ADE0"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（三）煤与瓦斯突出矿井，未依照规定实施</w:t>
      </w:r>
      <w:proofErr w:type="gramStart"/>
      <w:r w:rsidRPr="003865BF">
        <w:rPr>
          <w:rFonts w:ascii="宋体" w:hAnsi="宋体" w:cs="宋体"/>
          <w:kern w:val="0"/>
          <w:sz w:val="24"/>
          <w:szCs w:val="24"/>
        </w:rPr>
        <w:t>防突出</w:t>
      </w:r>
      <w:proofErr w:type="gramEnd"/>
      <w:r w:rsidRPr="003865BF">
        <w:rPr>
          <w:rFonts w:ascii="宋体" w:hAnsi="宋体" w:cs="宋体"/>
          <w:kern w:val="0"/>
          <w:sz w:val="24"/>
          <w:szCs w:val="24"/>
        </w:rPr>
        <w:t>措施；</w:t>
      </w:r>
    </w:p>
    <w:p w14:paraId="78A94A81"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（四）高瓦斯矿井未建立瓦斯抽采系统和监控系统，或者系统不能正常运行；</w:t>
      </w:r>
    </w:p>
    <w:p w14:paraId="119C38CB"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（五）通风系统不完善、不可靠；</w:t>
      </w:r>
    </w:p>
    <w:p w14:paraId="313B7606"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（六）有严重水患，未采取有效措施；</w:t>
      </w:r>
    </w:p>
    <w:p w14:paraId="512B9973"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（七）超层越界开采；</w:t>
      </w:r>
    </w:p>
    <w:p w14:paraId="10AA9F61"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（八）有冲击地压危险，未采取有效措施；</w:t>
      </w:r>
    </w:p>
    <w:p w14:paraId="7CB11477"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（九）自然发火严重，未采取有效措施；</w:t>
      </w:r>
    </w:p>
    <w:p w14:paraId="306B1D55"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（十）使用明令禁止使用或者淘汰的设备、工艺；</w:t>
      </w:r>
    </w:p>
    <w:p w14:paraId="18510259"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（十一）煤矿没有双回路供电系统；</w:t>
      </w:r>
    </w:p>
    <w:p w14:paraId="76D3DA35"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lastRenderedPageBreak/>
        <w:t>（十二）新建煤矿边建设边生产，煤矿改扩建期间，在改扩建的区域生产，或者在其他区域的生产超出安全设施设计规定的范围和规模；</w:t>
      </w:r>
    </w:p>
    <w:p w14:paraId="38672734"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（十三）煤矿实行整体承包生产经营后，未重新取得或者及时变更安全生产许可证而从事生产，或者承包方再次转包，以及将井下采掘工作面和井巷维修作业进行劳务承包；</w:t>
      </w:r>
    </w:p>
    <w:p w14:paraId="6857CAC8"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（十四）煤矿改制期间，未明确安全生产责任人和安全管理机构，或者在完成改制后，未重新取得或者变更采矿许可证、安全生产许可证和营业执照；</w:t>
      </w:r>
    </w:p>
    <w:p w14:paraId="0B0B5325"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（十五）其他重大事故隐患。</w:t>
      </w:r>
    </w:p>
    <w:p w14:paraId="4C8168EA"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b/>
          <w:bCs/>
          <w:kern w:val="0"/>
          <w:sz w:val="24"/>
          <w:szCs w:val="24"/>
        </w:rPr>
        <w:t>第四条</w:t>
      </w:r>
      <w:r w:rsidRPr="003865BF">
        <w:rPr>
          <w:rFonts w:ascii="宋体" w:hAnsi="宋体" w:cs="宋体"/>
          <w:kern w:val="0"/>
          <w:sz w:val="24"/>
          <w:szCs w:val="24"/>
        </w:rPr>
        <w:t xml:space="preserve">　“超能力、超强度或者超定员组织生产”重大事故隐患，是指有下列情形之一的：</w:t>
      </w:r>
    </w:p>
    <w:p w14:paraId="1BA2B4DF"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（一）煤矿全年原煤产量超过核定（设计）生产能力幅度在10%以上，或者月原煤产量大于核定（设计）生产能力的10%的；</w:t>
      </w:r>
    </w:p>
    <w:p w14:paraId="4C019D03"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（二）煤矿或其上级公司超过煤矿核定（设计）生产能力下达生产计划或者经营指标的；</w:t>
      </w:r>
    </w:p>
    <w:p w14:paraId="74F1594C"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（三）煤矿开拓、准备、回采煤量可采期小于国家规定的最短时间，未主动采取限产或者停产措施，仍然组织生产的（衰老煤矿和地方人民政府计划停产关闭煤矿除外）；</w:t>
      </w:r>
    </w:p>
    <w:p w14:paraId="69FBB750"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（四）煤矿井下同时生产的水平超过2个，或者一个采（盘）区内同时作业的采煤、煤（半煤岩）巷掘进工作面个数超过《煤矿安全规程》规定的；</w:t>
      </w:r>
    </w:p>
    <w:p w14:paraId="78B457E5"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（五）瓦斯抽采不达标组织生产的；</w:t>
      </w:r>
    </w:p>
    <w:p w14:paraId="399CD23F"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（六）煤矿未制定或者未严格执行井下劳动定员制度，或者采掘作业地点单班作业人数超过国家</w:t>
      </w:r>
      <w:proofErr w:type="gramStart"/>
      <w:r w:rsidRPr="003865BF">
        <w:rPr>
          <w:rFonts w:ascii="宋体" w:hAnsi="宋体" w:cs="宋体"/>
          <w:kern w:val="0"/>
          <w:sz w:val="24"/>
          <w:szCs w:val="24"/>
        </w:rPr>
        <w:t>有关限员规定</w:t>
      </w:r>
      <w:proofErr w:type="gramEnd"/>
      <w:r w:rsidRPr="003865BF">
        <w:rPr>
          <w:rFonts w:ascii="宋体" w:hAnsi="宋体" w:cs="宋体"/>
          <w:kern w:val="0"/>
          <w:sz w:val="24"/>
          <w:szCs w:val="24"/>
        </w:rPr>
        <w:t>20%以上的。</w:t>
      </w:r>
    </w:p>
    <w:p w14:paraId="503A7DA6"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b/>
          <w:bCs/>
          <w:kern w:val="0"/>
          <w:sz w:val="24"/>
          <w:szCs w:val="24"/>
        </w:rPr>
        <w:t>第五条</w:t>
      </w:r>
      <w:r w:rsidRPr="003865BF">
        <w:rPr>
          <w:rFonts w:ascii="宋体" w:hAnsi="宋体" w:cs="宋体"/>
          <w:kern w:val="0"/>
          <w:sz w:val="24"/>
          <w:szCs w:val="24"/>
        </w:rPr>
        <w:t xml:space="preserve">　“瓦斯超限作业”重大事故隐患，是指有下列情形之一的：</w:t>
      </w:r>
    </w:p>
    <w:p w14:paraId="6EF31D12"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（一）瓦斯检查存在漏检、</w:t>
      </w:r>
      <w:proofErr w:type="gramStart"/>
      <w:r w:rsidRPr="003865BF">
        <w:rPr>
          <w:rFonts w:ascii="宋体" w:hAnsi="宋体" w:cs="宋体"/>
          <w:kern w:val="0"/>
          <w:sz w:val="24"/>
          <w:szCs w:val="24"/>
        </w:rPr>
        <w:t>假检情况</w:t>
      </w:r>
      <w:proofErr w:type="gramEnd"/>
      <w:r w:rsidRPr="003865BF">
        <w:rPr>
          <w:rFonts w:ascii="宋体" w:hAnsi="宋体" w:cs="宋体"/>
          <w:kern w:val="0"/>
          <w:sz w:val="24"/>
          <w:szCs w:val="24"/>
        </w:rPr>
        <w:t>且进行作业的；</w:t>
      </w:r>
    </w:p>
    <w:p w14:paraId="7FAF3E96"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（二）井下瓦斯超限后继续作业或者未按照国家规定处置继续进行作业的；</w:t>
      </w:r>
    </w:p>
    <w:p w14:paraId="0100F4DC"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（三）井下排放积聚瓦斯未按照国家规定制定并实施安全技术措施进行作业的。</w:t>
      </w:r>
    </w:p>
    <w:p w14:paraId="1CBE52D9"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b/>
          <w:bCs/>
          <w:kern w:val="0"/>
          <w:sz w:val="24"/>
          <w:szCs w:val="24"/>
        </w:rPr>
        <w:t>第六条</w:t>
      </w:r>
      <w:r w:rsidRPr="003865BF">
        <w:rPr>
          <w:rFonts w:ascii="宋体" w:hAnsi="宋体" w:cs="宋体"/>
          <w:kern w:val="0"/>
          <w:sz w:val="24"/>
          <w:szCs w:val="24"/>
        </w:rPr>
        <w:t xml:space="preserve">　“煤与瓦斯突出矿井，未依照规定实施防突出措施”重大事故隐患，是指有下列情形之一的：</w:t>
      </w:r>
    </w:p>
    <w:p w14:paraId="4C7D07C7"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（一）未设立防</w:t>
      </w:r>
      <w:proofErr w:type="gramStart"/>
      <w:r w:rsidRPr="003865BF">
        <w:rPr>
          <w:rFonts w:ascii="宋体" w:hAnsi="宋体" w:cs="宋体"/>
          <w:kern w:val="0"/>
          <w:sz w:val="24"/>
          <w:szCs w:val="24"/>
        </w:rPr>
        <w:t>突机构</w:t>
      </w:r>
      <w:proofErr w:type="gramEnd"/>
      <w:r w:rsidRPr="003865BF">
        <w:rPr>
          <w:rFonts w:ascii="宋体" w:hAnsi="宋体" w:cs="宋体"/>
          <w:kern w:val="0"/>
          <w:sz w:val="24"/>
          <w:szCs w:val="24"/>
        </w:rPr>
        <w:t>并配备相应专业人员的；</w:t>
      </w:r>
    </w:p>
    <w:p w14:paraId="73A0446E"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lastRenderedPageBreak/>
        <w:t>（二）未建立地面永久瓦斯抽采系统或者系统不能正常运行的；</w:t>
      </w:r>
    </w:p>
    <w:p w14:paraId="666E1E1B"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（三）未按照国家规定进行区域或者工作面突出危险性预测的（直接认定为突出危险区域或者突出危险工作面的除外）；</w:t>
      </w:r>
    </w:p>
    <w:p w14:paraId="2985CC40"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（四）未按照国家规定采取防治突出措施的；</w:t>
      </w:r>
    </w:p>
    <w:p w14:paraId="0CF96FF2"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（五）未按照国家规定进行防</w:t>
      </w:r>
      <w:proofErr w:type="gramStart"/>
      <w:r w:rsidRPr="003865BF">
        <w:rPr>
          <w:rFonts w:ascii="宋体" w:hAnsi="宋体" w:cs="宋体"/>
          <w:kern w:val="0"/>
          <w:sz w:val="24"/>
          <w:szCs w:val="24"/>
        </w:rPr>
        <w:t>突措施</w:t>
      </w:r>
      <w:proofErr w:type="gramEnd"/>
      <w:r w:rsidRPr="003865BF">
        <w:rPr>
          <w:rFonts w:ascii="宋体" w:hAnsi="宋体" w:cs="宋体"/>
          <w:kern w:val="0"/>
          <w:sz w:val="24"/>
          <w:szCs w:val="24"/>
        </w:rPr>
        <w:t>效果检验和验证，或者防</w:t>
      </w:r>
      <w:proofErr w:type="gramStart"/>
      <w:r w:rsidRPr="003865BF">
        <w:rPr>
          <w:rFonts w:ascii="宋体" w:hAnsi="宋体" w:cs="宋体"/>
          <w:kern w:val="0"/>
          <w:sz w:val="24"/>
          <w:szCs w:val="24"/>
        </w:rPr>
        <w:t>突措施</w:t>
      </w:r>
      <w:proofErr w:type="gramEnd"/>
      <w:r w:rsidRPr="003865BF">
        <w:rPr>
          <w:rFonts w:ascii="宋体" w:hAnsi="宋体" w:cs="宋体"/>
          <w:kern w:val="0"/>
          <w:sz w:val="24"/>
          <w:szCs w:val="24"/>
        </w:rPr>
        <w:t>效果检验和验证不达标仍然组织生产建设，或者防</w:t>
      </w:r>
      <w:proofErr w:type="gramStart"/>
      <w:r w:rsidRPr="003865BF">
        <w:rPr>
          <w:rFonts w:ascii="宋体" w:hAnsi="宋体" w:cs="宋体"/>
          <w:kern w:val="0"/>
          <w:sz w:val="24"/>
          <w:szCs w:val="24"/>
        </w:rPr>
        <w:t>突措施</w:t>
      </w:r>
      <w:proofErr w:type="gramEnd"/>
      <w:r w:rsidRPr="003865BF">
        <w:rPr>
          <w:rFonts w:ascii="宋体" w:hAnsi="宋体" w:cs="宋体"/>
          <w:kern w:val="0"/>
          <w:sz w:val="24"/>
          <w:szCs w:val="24"/>
        </w:rPr>
        <w:t>效果检验和验证数据造假的；</w:t>
      </w:r>
    </w:p>
    <w:p w14:paraId="58484F55"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（六）未按照国家规定采取安全防护措施的；</w:t>
      </w:r>
    </w:p>
    <w:p w14:paraId="69186776"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（七）使用架</w:t>
      </w:r>
      <w:proofErr w:type="gramStart"/>
      <w:r w:rsidRPr="003865BF">
        <w:rPr>
          <w:rFonts w:ascii="宋体" w:hAnsi="宋体" w:cs="宋体"/>
          <w:kern w:val="0"/>
          <w:sz w:val="24"/>
          <w:szCs w:val="24"/>
        </w:rPr>
        <w:t>线式电</w:t>
      </w:r>
      <w:proofErr w:type="gramEnd"/>
      <w:r w:rsidRPr="003865BF">
        <w:rPr>
          <w:rFonts w:ascii="宋体" w:hAnsi="宋体" w:cs="宋体"/>
          <w:kern w:val="0"/>
          <w:sz w:val="24"/>
          <w:szCs w:val="24"/>
        </w:rPr>
        <w:t>机车的。</w:t>
      </w:r>
    </w:p>
    <w:p w14:paraId="6846162C"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b/>
          <w:bCs/>
          <w:kern w:val="0"/>
          <w:sz w:val="24"/>
          <w:szCs w:val="24"/>
        </w:rPr>
        <w:t>第七条</w:t>
      </w:r>
      <w:r w:rsidRPr="003865BF">
        <w:rPr>
          <w:rFonts w:ascii="宋体" w:hAnsi="宋体" w:cs="宋体"/>
          <w:kern w:val="0"/>
          <w:sz w:val="24"/>
          <w:szCs w:val="24"/>
        </w:rPr>
        <w:t xml:space="preserve">　“高瓦斯矿井未建立瓦斯抽采系统和监控系统，或者系统不能正常运行”重大事故隐患，是指有下列情形之一的：</w:t>
      </w:r>
    </w:p>
    <w:p w14:paraId="63CD7CEF"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（一）按照《煤矿安全规程》规定应当建立而未建立瓦斯抽采系统或者系统不正常使用的；</w:t>
      </w:r>
    </w:p>
    <w:p w14:paraId="5D3ECCB1"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（二）未按照国家规定安设、调校甲烷传感器，人为造成甲烷传感器失效，或者瓦斯超限后不能报警、断电或者断电范围不符合国家规定的。</w:t>
      </w:r>
    </w:p>
    <w:p w14:paraId="4D3F8368"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b/>
          <w:bCs/>
          <w:kern w:val="0"/>
          <w:sz w:val="24"/>
          <w:szCs w:val="24"/>
        </w:rPr>
        <w:t>第八条</w:t>
      </w:r>
      <w:r w:rsidRPr="003865BF">
        <w:rPr>
          <w:rFonts w:ascii="宋体" w:hAnsi="宋体" w:cs="宋体"/>
          <w:kern w:val="0"/>
          <w:sz w:val="24"/>
          <w:szCs w:val="24"/>
        </w:rPr>
        <w:t xml:space="preserve">　“通风系统不完善、不可靠”重大事故隐患，是指有下列情形之一的：</w:t>
      </w:r>
    </w:p>
    <w:p w14:paraId="18A11635"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（一）矿井总风量不足或者采掘工作面等主要用风地点风量不足的；</w:t>
      </w:r>
    </w:p>
    <w:p w14:paraId="76DDB888"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（二）没有备用主要通风机，或者两台主要通风机不具有同等能力的；</w:t>
      </w:r>
    </w:p>
    <w:p w14:paraId="32FD2BF9"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（三）违反《煤矿安全规程》规定采用串联通风的；</w:t>
      </w:r>
    </w:p>
    <w:p w14:paraId="358CBEF5"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（四）未按照设计形成通风系统，或者生产水平和采（盘）区未实现分区通风的；</w:t>
      </w:r>
    </w:p>
    <w:p w14:paraId="73868C20"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（五）高瓦斯、煤与瓦斯突出矿井的任一采（盘）区，开采容易自燃煤层、低瓦斯矿井开采煤层群和分层开采采用联合布置的采（盘）区，未设置专用回风巷，或者突出煤层工作面没有独立的回风系统的；</w:t>
      </w:r>
    </w:p>
    <w:p w14:paraId="0BBAA0A3"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（六）进、回风井之间和主要进、回风巷之间联络巷中的风墙、风门不符合《煤矿安全规程》规定，造成风流短路的；</w:t>
      </w:r>
    </w:p>
    <w:p w14:paraId="11B14E2E"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（七）采区进、</w:t>
      </w:r>
      <w:proofErr w:type="gramStart"/>
      <w:r w:rsidRPr="003865BF">
        <w:rPr>
          <w:rFonts w:ascii="宋体" w:hAnsi="宋体" w:cs="宋体"/>
          <w:kern w:val="0"/>
          <w:sz w:val="24"/>
          <w:szCs w:val="24"/>
        </w:rPr>
        <w:t>回风巷未贯穿</w:t>
      </w:r>
      <w:proofErr w:type="gramEnd"/>
      <w:r w:rsidRPr="003865BF">
        <w:rPr>
          <w:rFonts w:ascii="宋体" w:hAnsi="宋体" w:cs="宋体"/>
          <w:kern w:val="0"/>
          <w:sz w:val="24"/>
          <w:szCs w:val="24"/>
        </w:rPr>
        <w:t>整个采区，或者虽贯穿整个采区但一段进风、一段回风，或者采用</w:t>
      </w:r>
      <w:proofErr w:type="gramStart"/>
      <w:r w:rsidRPr="003865BF">
        <w:rPr>
          <w:rFonts w:ascii="宋体" w:hAnsi="宋体" w:cs="宋体"/>
          <w:kern w:val="0"/>
          <w:sz w:val="24"/>
          <w:szCs w:val="24"/>
        </w:rPr>
        <w:t>倾斜长壁布置</w:t>
      </w:r>
      <w:proofErr w:type="gramEnd"/>
      <w:r w:rsidRPr="003865BF">
        <w:rPr>
          <w:rFonts w:ascii="宋体" w:hAnsi="宋体" w:cs="宋体"/>
          <w:kern w:val="0"/>
          <w:sz w:val="24"/>
          <w:szCs w:val="24"/>
        </w:rPr>
        <w:t>，大巷未超前至少2个区段构成通风系统即开掘其他巷道的；</w:t>
      </w:r>
    </w:p>
    <w:p w14:paraId="5A1100B1"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lastRenderedPageBreak/>
        <w:t>（八）煤巷、半煤岩巷和有瓦斯涌出</w:t>
      </w:r>
      <w:proofErr w:type="gramStart"/>
      <w:r w:rsidRPr="003865BF">
        <w:rPr>
          <w:rFonts w:ascii="宋体" w:hAnsi="宋体" w:cs="宋体"/>
          <w:kern w:val="0"/>
          <w:sz w:val="24"/>
          <w:szCs w:val="24"/>
        </w:rPr>
        <w:t>的岩巷掘进</w:t>
      </w:r>
      <w:proofErr w:type="gramEnd"/>
      <w:r w:rsidRPr="003865BF">
        <w:rPr>
          <w:rFonts w:ascii="宋体" w:hAnsi="宋体" w:cs="宋体"/>
          <w:kern w:val="0"/>
          <w:sz w:val="24"/>
          <w:szCs w:val="24"/>
        </w:rPr>
        <w:t>未按照国家规定装备甲烷电、风电闭锁装置或者有关装置不能正常使用的；</w:t>
      </w:r>
    </w:p>
    <w:p w14:paraId="5954792A"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（九）高瓦斯、煤（岩）与瓦斯（二氧化碳）突出矿井的煤巷、半煤岩巷和有瓦斯涌出</w:t>
      </w:r>
      <w:proofErr w:type="gramStart"/>
      <w:r w:rsidRPr="003865BF">
        <w:rPr>
          <w:rFonts w:ascii="宋体" w:hAnsi="宋体" w:cs="宋体"/>
          <w:kern w:val="0"/>
          <w:sz w:val="24"/>
          <w:szCs w:val="24"/>
        </w:rPr>
        <w:t>的岩巷掘进</w:t>
      </w:r>
      <w:proofErr w:type="gramEnd"/>
      <w:r w:rsidRPr="003865BF">
        <w:rPr>
          <w:rFonts w:ascii="宋体" w:hAnsi="宋体" w:cs="宋体"/>
          <w:kern w:val="0"/>
          <w:sz w:val="24"/>
          <w:szCs w:val="24"/>
        </w:rPr>
        <w:t>工作面采用局部通风时，不能实现双风机、双电源且自动切换的；</w:t>
      </w:r>
    </w:p>
    <w:p w14:paraId="18B92B8F"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（十）高瓦斯、煤（岩）与瓦斯（二氧化碳）突出建设矿井进入二期工程前，其他建设矿井进入三期工程前，没有形成地面</w:t>
      </w:r>
      <w:proofErr w:type="gramStart"/>
      <w:r w:rsidRPr="003865BF">
        <w:rPr>
          <w:rFonts w:ascii="宋体" w:hAnsi="宋体" w:cs="宋体"/>
          <w:kern w:val="0"/>
          <w:sz w:val="24"/>
          <w:szCs w:val="24"/>
        </w:rPr>
        <w:t>主要通风机供风的</w:t>
      </w:r>
      <w:proofErr w:type="gramEnd"/>
      <w:r w:rsidRPr="003865BF">
        <w:rPr>
          <w:rFonts w:ascii="宋体" w:hAnsi="宋体" w:cs="宋体"/>
          <w:kern w:val="0"/>
          <w:sz w:val="24"/>
          <w:szCs w:val="24"/>
        </w:rPr>
        <w:t>全风压通风系统的。</w:t>
      </w:r>
    </w:p>
    <w:p w14:paraId="12C8C4A0"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b/>
          <w:bCs/>
          <w:kern w:val="0"/>
          <w:sz w:val="24"/>
          <w:szCs w:val="24"/>
        </w:rPr>
        <w:t>第九条</w:t>
      </w:r>
      <w:r w:rsidRPr="003865BF">
        <w:rPr>
          <w:rFonts w:ascii="宋体" w:hAnsi="宋体" w:cs="宋体"/>
          <w:kern w:val="0"/>
          <w:sz w:val="24"/>
          <w:szCs w:val="24"/>
        </w:rPr>
        <w:t xml:space="preserve">　“有严重水患，未采取有效措施”重大事故隐患，是指有下列情形之一的：</w:t>
      </w:r>
    </w:p>
    <w:p w14:paraId="3B2BE007"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（一）未查明矿井水文地质条件和井田范围内采空区、废弃老窑积水等情况而组织生产建设的；</w:t>
      </w:r>
    </w:p>
    <w:p w14:paraId="1D3E4556"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（二）水文地质类型复杂、极复杂的矿井未设置专门的防治水机构、未配备专门的探放水作业队伍，或者未配齐专用探放水设备的；</w:t>
      </w:r>
    </w:p>
    <w:p w14:paraId="78F6B115"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（三）在需要探放水的区域进行采掘作业未按照国家规定进行探放水的；</w:t>
      </w:r>
    </w:p>
    <w:p w14:paraId="2AF45F5A"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（四）未按照国家规定留设或者擅自开采（破坏）各种防隔水煤（岩）柱的；</w:t>
      </w:r>
    </w:p>
    <w:p w14:paraId="7BFAC8BF"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（五）有突（透、溃）水征兆未撤出井下所有受水患威胁地点人员的；</w:t>
      </w:r>
    </w:p>
    <w:p w14:paraId="5EF44B69"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（六）受地表水倒灌威胁的矿井在强降雨天气或其来水上游发生洪水期间未实施停产撤人的；</w:t>
      </w:r>
    </w:p>
    <w:p w14:paraId="5CFDD715"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（七）建设矿井进入三期工程前，未按照设计建成永久排水系统，或者生产矿井延深到设计水平时，未建成防、排水系统而违规开拓掘进的；</w:t>
      </w:r>
    </w:p>
    <w:p w14:paraId="1131159A"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（八）矿井主要排水系统水泵排水能力、管路和水仓容量不符合《煤矿安全规程》规定的；</w:t>
      </w:r>
    </w:p>
    <w:p w14:paraId="231667AD"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（九）开采地表水体、</w:t>
      </w:r>
      <w:proofErr w:type="gramStart"/>
      <w:r w:rsidRPr="003865BF">
        <w:rPr>
          <w:rFonts w:ascii="宋体" w:hAnsi="宋体" w:cs="宋体"/>
          <w:kern w:val="0"/>
          <w:sz w:val="24"/>
          <w:szCs w:val="24"/>
        </w:rPr>
        <w:t>老空水淹区域或者强</w:t>
      </w:r>
      <w:proofErr w:type="gramEnd"/>
      <w:r w:rsidRPr="003865BF">
        <w:rPr>
          <w:rFonts w:ascii="宋体" w:hAnsi="宋体" w:cs="宋体"/>
          <w:kern w:val="0"/>
          <w:sz w:val="24"/>
          <w:szCs w:val="24"/>
        </w:rPr>
        <w:t>含水层下急倾斜煤层，未按照国家规定消除水患威胁的。</w:t>
      </w:r>
    </w:p>
    <w:p w14:paraId="2D940A33"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b/>
          <w:bCs/>
          <w:kern w:val="0"/>
          <w:sz w:val="24"/>
          <w:szCs w:val="24"/>
        </w:rPr>
        <w:t>第十条</w:t>
      </w:r>
      <w:r w:rsidRPr="003865BF">
        <w:rPr>
          <w:rFonts w:ascii="宋体" w:hAnsi="宋体" w:cs="宋体"/>
          <w:kern w:val="0"/>
          <w:sz w:val="24"/>
          <w:szCs w:val="24"/>
        </w:rPr>
        <w:t xml:space="preserve">　“超层越界开采”重大事故隐患，是指有下列情形之一的：</w:t>
      </w:r>
    </w:p>
    <w:p w14:paraId="235822C4"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（一）超出采矿许可证载明的开采煤层层位或者标高进行开采的；</w:t>
      </w:r>
    </w:p>
    <w:p w14:paraId="073A83B0"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（二）超出采矿许可证载明的坐标控制范围进行开采的；</w:t>
      </w:r>
    </w:p>
    <w:p w14:paraId="6ADA992D"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（三）擅自开采（破坏）安全煤柱的。</w:t>
      </w:r>
    </w:p>
    <w:p w14:paraId="5F3353EC"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b/>
          <w:bCs/>
          <w:kern w:val="0"/>
          <w:sz w:val="24"/>
          <w:szCs w:val="24"/>
        </w:rPr>
        <w:lastRenderedPageBreak/>
        <w:t>第十一条</w:t>
      </w:r>
      <w:r w:rsidRPr="003865BF">
        <w:rPr>
          <w:rFonts w:ascii="宋体" w:hAnsi="宋体" w:cs="宋体"/>
          <w:kern w:val="0"/>
          <w:sz w:val="24"/>
          <w:szCs w:val="24"/>
        </w:rPr>
        <w:t xml:space="preserve">　“有冲击地压危险，未采取有效措施”重大事故隐患，是指有下列情形之一的：</w:t>
      </w:r>
    </w:p>
    <w:p w14:paraId="4F27793F"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（一）未按照国家规定进行煤层（岩层）冲击倾向性鉴定，或者开采有冲击倾向性煤层未进行冲击危险性评价，或者开采冲击地压煤层，未进行采区、采掘工作面冲击危险性评价的；</w:t>
      </w:r>
    </w:p>
    <w:p w14:paraId="38635109"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（二）有冲击地压危险的矿井未设置专门的防冲机构、未配备专业人员或者未编制专门设计的；</w:t>
      </w:r>
    </w:p>
    <w:p w14:paraId="5528965E"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（三）未进行冲击地压危险性预测，或者未进行防冲措施效果检验以及防冲措施效果检验不</w:t>
      </w:r>
      <w:proofErr w:type="gramStart"/>
      <w:r w:rsidRPr="003865BF">
        <w:rPr>
          <w:rFonts w:ascii="宋体" w:hAnsi="宋体" w:cs="宋体"/>
          <w:kern w:val="0"/>
          <w:sz w:val="24"/>
          <w:szCs w:val="24"/>
        </w:rPr>
        <w:t>达标仍</w:t>
      </w:r>
      <w:proofErr w:type="gramEnd"/>
      <w:r w:rsidRPr="003865BF">
        <w:rPr>
          <w:rFonts w:ascii="宋体" w:hAnsi="宋体" w:cs="宋体"/>
          <w:kern w:val="0"/>
          <w:sz w:val="24"/>
          <w:szCs w:val="24"/>
        </w:rPr>
        <w:t>组织生产建设的；</w:t>
      </w:r>
    </w:p>
    <w:p w14:paraId="111D74A9"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（四）开采冲击地压煤层时，违规开采孤岛煤柱，采掘工作面位置、间距不符合国家规定，或者开采顺序不合理、采掘速度不符合国家规定、违反国家规定布置巷道或者</w:t>
      </w:r>
      <w:proofErr w:type="gramStart"/>
      <w:r w:rsidRPr="003865BF">
        <w:rPr>
          <w:rFonts w:ascii="宋体" w:hAnsi="宋体" w:cs="宋体"/>
          <w:kern w:val="0"/>
          <w:sz w:val="24"/>
          <w:szCs w:val="24"/>
        </w:rPr>
        <w:t>留设煤</w:t>
      </w:r>
      <w:proofErr w:type="gramEnd"/>
      <w:r w:rsidRPr="003865BF">
        <w:rPr>
          <w:rFonts w:ascii="宋体" w:hAnsi="宋体" w:cs="宋体"/>
          <w:kern w:val="0"/>
          <w:sz w:val="24"/>
          <w:szCs w:val="24"/>
        </w:rPr>
        <w:t>（岩）</w:t>
      </w:r>
      <w:proofErr w:type="gramStart"/>
      <w:r w:rsidRPr="003865BF">
        <w:rPr>
          <w:rFonts w:ascii="宋体" w:hAnsi="宋体" w:cs="宋体"/>
          <w:kern w:val="0"/>
          <w:sz w:val="24"/>
          <w:szCs w:val="24"/>
        </w:rPr>
        <w:t>柱造成</w:t>
      </w:r>
      <w:proofErr w:type="gramEnd"/>
      <w:r w:rsidRPr="003865BF">
        <w:rPr>
          <w:rFonts w:ascii="宋体" w:hAnsi="宋体" w:cs="宋体"/>
          <w:kern w:val="0"/>
          <w:sz w:val="24"/>
          <w:szCs w:val="24"/>
        </w:rPr>
        <w:t>应力集中的；</w:t>
      </w:r>
    </w:p>
    <w:p w14:paraId="32112913"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（五）未制定或者未严格执行冲击地压危险区域人员准入制度的。</w:t>
      </w:r>
    </w:p>
    <w:p w14:paraId="576181C9"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b/>
          <w:bCs/>
          <w:kern w:val="0"/>
          <w:sz w:val="24"/>
          <w:szCs w:val="24"/>
        </w:rPr>
        <w:t>第十二条</w:t>
      </w:r>
      <w:r w:rsidRPr="003865BF">
        <w:rPr>
          <w:rFonts w:ascii="宋体" w:hAnsi="宋体" w:cs="宋体"/>
          <w:kern w:val="0"/>
          <w:sz w:val="24"/>
          <w:szCs w:val="24"/>
        </w:rPr>
        <w:t xml:space="preserve">　“自然发火严重，未采取有效措施”重大事故隐患，是指有下列情形之一的：</w:t>
      </w:r>
    </w:p>
    <w:p w14:paraId="52BCEB96"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（一）开采容易自燃和自燃煤层的矿井，未编制防灭火专项设计或者未采取综合防灭火措施的；</w:t>
      </w:r>
    </w:p>
    <w:p w14:paraId="34A6C517"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（二）高瓦斯矿井采用放顶煤采煤法不能有效防治煤层自然发火的；</w:t>
      </w:r>
    </w:p>
    <w:p w14:paraId="7CE3D6E6"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（三）有自然发火征兆没有采取相应的安全防范措施继续生产建设的；</w:t>
      </w:r>
    </w:p>
    <w:p w14:paraId="4BB823B3"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（四）违反《煤矿安全规程》规定启封火区的。</w:t>
      </w:r>
    </w:p>
    <w:p w14:paraId="723E6477"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b/>
          <w:bCs/>
          <w:kern w:val="0"/>
          <w:sz w:val="24"/>
          <w:szCs w:val="24"/>
        </w:rPr>
        <w:t>第十三条</w:t>
      </w:r>
      <w:r w:rsidRPr="003865BF">
        <w:rPr>
          <w:rFonts w:ascii="宋体" w:hAnsi="宋体" w:cs="宋体"/>
          <w:kern w:val="0"/>
          <w:sz w:val="24"/>
          <w:szCs w:val="24"/>
        </w:rPr>
        <w:t xml:space="preserve">　“使用明令禁止使用或者淘汰的设备、工艺”重大事故隐患，是指有下列情形之一的：</w:t>
      </w:r>
    </w:p>
    <w:p w14:paraId="5EA10C49"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（一）使用被列入国家禁止</w:t>
      </w:r>
      <w:proofErr w:type="gramStart"/>
      <w:r w:rsidRPr="003865BF">
        <w:rPr>
          <w:rFonts w:ascii="宋体" w:hAnsi="宋体" w:cs="宋体"/>
          <w:kern w:val="0"/>
          <w:sz w:val="24"/>
          <w:szCs w:val="24"/>
        </w:rPr>
        <w:t>井工煤矿</w:t>
      </w:r>
      <w:proofErr w:type="gramEnd"/>
      <w:r w:rsidRPr="003865BF">
        <w:rPr>
          <w:rFonts w:ascii="宋体" w:hAnsi="宋体" w:cs="宋体"/>
          <w:kern w:val="0"/>
          <w:sz w:val="24"/>
          <w:szCs w:val="24"/>
        </w:rPr>
        <w:t>使用的设备及工艺目录的产品或者工艺的；</w:t>
      </w:r>
    </w:p>
    <w:p w14:paraId="63612B74"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（二）井下电气设备、电缆未取得煤矿矿用产品安全标志的；</w:t>
      </w:r>
    </w:p>
    <w:p w14:paraId="21CCE04D"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（三）井下电气设备选型与矿井瓦斯等级不符，或者采（盘）区内防爆型电气设备存在失爆，或者井下使用非防爆无轨胶轮车的；</w:t>
      </w:r>
    </w:p>
    <w:p w14:paraId="4BC5B7AC"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（四）未按照矿井瓦斯等级选用相应的煤矿许用炸药和雷管、未使用专用发爆器，或者裸露爆破的；</w:t>
      </w:r>
    </w:p>
    <w:p w14:paraId="7B24292F"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（五）采煤工作面不能保证2个畅通的安全出口的；</w:t>
      </w:r>
    </w:p>
    <w:p w14:paraId="354CD8E6"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lastRenderedPageBreak/>
        <w:t>（六）高瓦斯矿井、煤与瓦斯突出矿井、开采容易自燃和自燃煤层（薄煤层除外）矿井，采煤工作面采用前进式采煤方法的。</w:t>
      </w:r>
    </w:p>
    <w:p w14:paraId="6029CDE3"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b/>
          <w:bCs/>
          <w:kern w:val="0"/>
          <w:sz w:val="24"/>
          <w:szCs w:val="24"/>
        </w:rPr>
        <w:t>第十四条</w:t>
      </w:r>
      <w:r w:rsidRPr="003865BF">
        <w:rPr>
          <w:rFonts w:ascii="宋体" w:hAnsi="宋体" w:cs="宋体"/>
          <w:kern w:val="0"/>
          <w:sz w:val="24"/>
          <w:szCs w:val="24"/>
        </w:rPr>
        <w:t xml:space="preserve">　“煤矿没有双回路供电系统”重大事故隐患，是指有下列情形之一的：</w:t>
      </w:r>
    </w:p>
    <w:p w14:paraId="3ECC719B"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（一）单回路供电的；</w:t>
      </w:r>
    </w:p>
    <w:p w14:paraId="442F0F9D"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（二）有两回路电源线路但取自一个区域变电所同一母线段的；</w:t>
      </w:r>
    </w:p>
    <w:p w14:paraId="5C76DEBD"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（三）进入二期工程的高瓦斯、煤与瓦斯突出、水文地质类型为复杂和极复杂的建设矿井，以及进入三期工程的其他建设矿井，未形成两回路供电的。</w:t>
      </w:r>
    </w:p>
    <w:p w14:paraId="574BD74B"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b/>
          <w:bCs/>
          <w:kern w:val="0"/>
          <w:sz w:val="24"/>
          <w:szCs w:val="24"/>
        </w:rPr>
        <w:t>第十五条</w:t>
      </w:r>
      <w:r w:rsidRPr="003865BF">
        <w:rPr>
          <w:rFonts w:ascii="宋体" w:hAnsi="宋体" w:cs="宋体"/>
          <w:kern w:val="0"/>
          <w:sz w:val="24"/>
          <w:szCs w:val="24"/>
        </w:rPr>
        <w:t xml:space="preserve">　“新建煤矿边建设边生产，煤矿改扩建期间，在改扩建的区域生产，或者在其他区域的生产超出安全设施设计规定的范围和规模”重大事故隐患，是指有下列情形之一的：</w:t>
      </w:r>
    </w:p>
    <w:p w14:paraId="138F41E6"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（一）建设项目安全设施设计未经审查批准，或者在审查批准后作出重大变更未经再次审查批准擅自组织施工的；</w:t>
      </w:r>
    </w:p>
    <w:p w14:paraId="79DFCC60"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（二）新建煤矿在建设期间组织采煤的（经批准的联合试运转除外）；</w:t>
      </w:r>
    </w:p>
    <w:p w14:paraId="19B06514"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（三）改扩建矿井在改扩建区域生产的；</w:t>
      </w:r>
    </w:p>
    <w:p w14:paraId="1F2280D1"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（四）改扩建矿井在非改扩建区域超出设计规定范围和规模生产的。</w:t>
      </w:r>
    </w:p>
    <w:p w14:paraId="09B48F85"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b/>
          <w:bCs/>
          <w:kern w:val="0"/>
          <w:sz w:val="24"/>
          <w:szCs w:val="24"/>
        </w:rPr>
        <w:t>第十六条</w:t>
      </w:r>
      <w:r w:rsidRPr="003865BF">
        <w:rPr>
          <w:rFonts w:ascii="宋体" w:hAnsi="宋体" w:cs="宋体"/>
          <w:kern w:val="0"/>
          <w:sz w:val="24"/>
          <w:szCs w:val="24"/>
        </w:rPr>
        <w:t xml:space="preserve">　“煤矿实行整体承包生产经营后，未重新取得或者及时变更安全生产许可证而从事生产，或者承包方再次转包，以及将井下采掘工作面和井巷维修作业进行劳务承包”重大事故隐患，是指有下列情形之一的：</w:t>
      </w:r>
    </w:p>
    <w:p w14:paraId="6EF2A0A1"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（一）煤矿未采取整体承包形式进行发包，或者将煤矿整体发包给不具有法人资格或者未取得合法有效营业执照的单位或者个人的；</w:t>
      </w:r>
    </w:p>
    <w:p w14:paraId="6D092CFB"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（二）实行整体承包的煤矿，未签订安全生产管理协议，或者未按照国家规定约定双方安全生产管理职责而进行生产的；</w:t>
      </w:r>
    </w:p>
    <w:p w14:paraId="140F99FD"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（三）实行整体承包的煤矿，未重新取得或者变更安全生产许可证进行生产的；</w:t>
      </w:r>
    </w:p>
    <w:p w14:paraId="35933BAE"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（四）实行整体承包的煤矿，承包方再次将煤矿转包给其他单位或者个人的；</w:t>
      </w:r>
    </w:p>
    <w:p w14:paraId="6C654199"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（五）</w:t>
      </w:r>
      <w:proofErr w:type="gramStart"/>
      <w:r w:rsidRPr="003865BF">
        <w:rPr>
          <w:rFonts w:ascii="宋体" w:hAnsi="宋体" w:cs="宋体"/>
          <w:kern w:val="0"/>
          <w:sz w:val="24"/>
          <w:szCs w:val="24"/>
        </w:rPr>
        <w:t>井工煤矿</w:t>
      </w:r>
      <w:proofErr w:type="gramEnd"/>
      <w:r w:rsidRPr="003865BF">
        <w:rPr>
          <w:rFonts w:ascii="宋体" w:hAnsi="宋体" w:cs="宋体"/>
          <w:kern w:val="0"/>
          <w:sz w:val="24"/>
          <w:szCs w:val="24"/>
        </w:rPr>
        <w:t>将井下采掘作业或者井巷维修作业（井筒及井下新水平延深的井底车场、主运输、主通风、主排水、主要机电硐室开拓工程除外）作为独立工程发包给其他企业或者个人的，以及转包井下新水平延</w:t>
      </w:r>
      <w:proofErr w:type="gramStart"/>
      <w:r w:rsidRPr="003865BF">
        <w:rPr>
          <w:rFonts w:ascii="宋体" w:hAnsi="宋体" w:cs="宋体"/>
          <w:kern w:val="0"/>
          <w:sz w:val="24"/>
          <w:szCs w:val="24"/>
        </w:rPr>
        <w:t>深开拓</w:t>
      </w:r>
      <w:proofErr w:type="gramEnd"/>
      <w:r w:rsidRPr="003865BF">
        <w:rPr>
          <w:rFonts w:ascii="宋体" w:hAnsi="宋体" w:cs="宋体"/>
          <w:kern w:val="0"/>
          <w:sz w:val="24"/>
          <w:szCs w:val="24"/>
        </w:rPr>
        <w:t>工程的。</w:t>
      </w:r>
    </w:p>
    <w:p w14:paraId="03927E0D"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b/>
          <w:bCs/>
          <w:kern w:val="0"/>
          <w:sz w:val="24"/>
          <w:szCs w:val="24"/>
        </w:rPr>
        <w:lastRenderedPageBreak/>
        <w:t>第十七条</w:t>
      </w:r>
      <w:r w:rsidRPr="003865BF">
        <w:rPr>
          <w:rFonts w:ascii="宋体" w:hAnsi="宋体" w:cs="宋体"/>
          <w:kern w:val="0"/>
          <w:sz w:val="24"/>
          <w:szCs w:val="24"/>
        </w:rPr>
        <w:t xml:space="preserve">　“煤矿改制期间，未明确安全生产责任人和安全管理机构，或者在完成改制后，未重新取得或者变更采矿许可证、安全生产许可证和营业执照”重大事故隐患，是指有下列情形之一的：</w:t>
      </w:r>
    </w:p>
    <w:p w14:paraId="25FA68C1"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（一）改制期间，未明确安全生产责任人进行生产建设的；</w:t>
      </w:r>
    </w:p>
    <w:p w14:paraId="12917827"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（二）改制期间，未健全安全生产管理机构和配备安全管理人员进行生产建设的；</w:t>
      </w:r>
    </w:p>
    <w:p w14:paraId="71BB20F2"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（三）完成改制后，未重新取得或者变更采矿许可证、安全生产许可证、营业执照而进行生产建设的。</w:t>
      </w:r>
    </w:p>
    <w:p w14:paraId="32EBC745"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b/>
          <w:bCs/>
          <w:kern w:val="0"/>
          <w:sz w:val="24"/>
          <w:szCs w:val="24"/>
        </w:rPr>
        <w:t>第十八条</w:t>
      </w:r>
      <w:r w:rsidRPr="003865BF">
        <w:rPr>
          <w:rFonts w:ascii="宋体" w:hAnsi="宋体" w:cs="宋体"/>
          <w:kern w:val="0"/>
          <w:sz w:val="24"/>
          <w:szCs w:val="24"/>
        </w:rPr>
        <w:t xml:space="preserve">　“其他重大事故隐患”，是指有下列情形之一的：</w:t>
      </w:r>
    </w:p>
    <w:p w14:paraId="1A487683"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（一）未分别配备专职的矿长、总工程师和分管安全、生产、机电的副矿长，以及负责采煤、掘进、机电运输、通风、地测、防治</w:t>
      </w:r>
      <w:proofErr w:type="gramStart"/>
      <w:r w:rsidRPr="003865BF">
        <w:rPr>
          <w:rFonts w:ascii="宋体" w:hAnsi="宋体" w:cs="宋体"/>
          <w:kern w:val="0"/>
          <w:sz w:val="24"/>
          <w:szCs w:val="24"/>
        </w:rPr>
        <w:t>水工作</w:t>
      </w:r>
      <w:proofErr w:type="gramEnd"/>
      <w:r w:rsidRPr="003865BF">
        <w:rPr>
          <w:rFonts w:ascii="宋体" w:hAnsi="宋体" w:cs="宋体"/>
          <w:kern w:val="0"/>
          <w:sz w:val="24"/>
          <w:szCs w:val="24"/>
        </w:rPr>
        <w:t>的专业技术人员的；</w:t>
      </w:r>
    </w:p>
    <w:p w14:paraId="68F74E43"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（二）未按照国家规定足额提取或者未按照国家规定范围使用安全生产费用的；</w:t>
      </w:r>
    </w:p>
    <w:p w14:paraId="728255E6"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（三）未按照国家规定进行瓦斯等级鉴定，或者瓦斯等级鉴定弄虚作假的；</w:t>
      </w:r>
    </w:p>
    <w:p w14:paraId="0D265889"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四）出现瓦斯动力现象，或者相邻矿井开采的同一煤层发生了突出事故，或者被鉴定、认定为突出煤层，以及煤层瓦斯压力达到或者超过0.74MPa的非突出矿井，未立即按照突出煤层管理并在国家规定期限内进行突出危险性鉴定的（直接认定为突出矿井的除外）；</w:t>
      </w:r>
    </w:p>
    <w:p w14:paraId="131F3C8A"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（五）图纸作假、隐瞒采掘工作面，提供虚假信息、隐瞒下井人数，或者矿长、总工程师（技术负责人）履行安全生产岗位责任制及管理制度时伪造记录，弄虚作假的；</w:t>
      </w:r>
    </w:p>
    <w:p w14:paraId="30623986"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（六）矿井未安装安全监控系统、人员位置监测系统或者系统不能正常运行，以及对系统数据进行修改、删除及屏蔽，或者煤与瓦斯突出矿井存在第七条第二项情形的；</w:t>
      </w:r>
    </w:p>
    <w:p w14:paraId="434596C8"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（七）提升（运送）人员的提升机未按照《煤矿安全规程》规定安装保护装置，或者保护装置失效，或者超员运行的；</w:t>
      </w:r>
    </w:p>
    <w:p w14:paraId="5FB64CF9"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（八）带式输送机的输送带入井前未经过第三方阻燃和抗静电性能试验，或者试验不合格入井，或者输送带防打滑、跑偏、堆煤等保护装置或者温度、烟雾监测装置失效的；</w:t>
      </w:r>
    </w:p>
    <w:p w14:paraId="6FB3CFE2"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（九）掘进工作面后部巷道或者独头巷道维修（着火点、高温点处理）时，维修（处理）点以里继续掘进或者有人员进入，或者采掘工作面未按照国家规定安设压风、供水、通信线路及装置的；</w:t>
      </w:r>
    </w:p>
    <w:p w14:paraId="603B12BA"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lastRenderedPageBreak/>
        <w:t>（十）露天煤矿边坡角大于设计最大值，或者边坡发生严重变形未及时采取措施进行治理的；</w:t>
      </w:r>
    </w:p>
    <w:p w14:paraId="554A4CB3"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kern w:val="0"/>
          <w:sz w:val="24"/>
          <w:szCs w:val="24"/>
        </w:rPr>
        <w:t>（十一）国家矿山安全监察机构认定的其他重大事故隐患。</w:t>
      </w:r>
    </w:p>
    <w:p w14:paraId="1E6D54C8"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b/>
          <w:bCs/>
          <w:kern w:val="0"/>
          <w:sz w:val="24"/>
          <w:szCs w:val="24"/>
        </w:rPr>
        <w:t>第十九条</w:t>
      </w:r>
      <w:r w:rsidRPr="003865BF">
        <w:rPr>
          <w:rFonts w:ascii="宋体" w:hAnsi="宋体" w:cs="宋体"/>
          <w:kern w:val="0"/>
          <w:sz w:val="24"/>
          <w:szCs w:val="24"/>
        </w:rPr>
        <w:t xml:space="preserve">　本标准所称的国家规定，是指有关法律、行政法规、部门规章、国家标准、行业标准，以及国务院及其应急管理部门、国家矿山安全监察机构依法制定的行政规范性文件。</w:t>
      </w:r>
    </w:p>
    <w:p w14:paraId="635A49C1" w14:textId="77777777" w:rsidR="003865BF" w:rsidRPr="003865BF" w:rsidRDefault="003865BF" w:rsidP="003865BF">
      <w:pPr>
        <w:widowControl/>
        <w:spacing w:before="100" w:beforeAutospacing="1" w:after="100" w:afterAutospacing="1"/>
        <w:jc w:val="left"/>
        <w:rPr>
          <w:rFonts w:ascii="宋体" w:hAnsi="宋体" w:cs="宋体"/>
          <w:kern w:val="0"/>
          <w:sz w:val="24"/>
          <w:szCs w:val="24"/>
        </w:rPr>
      </w:pPr>
      <w:r w:rsidRPr="003865BF">
        <w:rPr>
          <w:rFonts w:ascii="宋体" w:hAnsi="宋体" w:cs="宋体"/>
          <w:b/>
          <w:bCs/>
          <w:kern w:val="0"/>
          <w:sz w:val="24"/>
          <w:szCs w:val="24"/>
        </w:rPr>
        <w:t>第二十条</w:t>
      </w:r>
      <w:r w:rsidRPr="003865BF">
        <w:rPr>
          <w:rFonts w:ascii="宋体" w:hAnsi="宋体" w:cs="宋体"/>
          <w:kern w:val="0"/>
          <w:sz w:val="24"/>
          <w:szCs w:val="24"/>
        </w:rPr>
        <w:t xml:space="preserve">　本标准自2021年1月1日起施行。原国家安全生产监督管理总局2015年12月3日公布的《煤矿重大生产安全事故隐患判定标准》（国家安全生产监督管理总局令第85号）同时废止。</w:t>
      </w:r>
    </w:p>
    <w:p w14:paraId="19CC6DCC" w14:textId="77777777" w:rsidR="003865BF" w:rsidRPr="003865BF" w:rsidRDefault="003865BF" w:rsidP="003865BF">
      <w:pPr>
        <w:widowControl/>
        <w:spacing w:before="100" w:beforeAutospacing="1" w:after="100" w:afterAutospacing="1"/>
        <w:jc w:val="center"/>
        <w:rPr>
          <w:rFonts w:ascii="宋体" w:hAnsi="宋体" w:cs="宋体"/>
          <w:kern w:val="0"/>
          <w:sz w:val="24"/>
          <w:szCs w:val="24"/>
        </w:rPr>
      </w:pPr>
      <w:r w:rsidRPr="003865BF">
        <w:rPr>
          <w:rFonts w:ascii="宋体" w:hAnsi="宋体" w:cs="宋体"/>
          <w:noProof/>
          <w:kern w:val="0"/>
          <w:sz w:val="24"/>
          <w:szCs w:val="24"/>
        </w:rPr>
        <w:drawing>
          <wp:inline distT="0" distB="0" distL="0" distR="0" wp14:anchorId="6883E19C" wp14:editId="267300A7">
            <wp:extent cx="1123950" cy="1123950"/>
            <wp:effectExtent l="0" t="0" r="0" b="0"/>
            <wp:docPr id="1"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 代码&#10;&#10;描述已自动生成"/>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14:paraId="529CE82D" w14:textId="77777777" w:rsidR="00CD14D0" w:rsidRDefault="00CD14D0"/>
    <w:sectPr w:rsidR="00CD1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5BF"/>
    <w:rsid w:val="001D105C"/>
    <w:rsid w:val="002B42A2"/>
    <w:rsid w:val="003865BF"/>
    <w:rsid w:val="00CD14D0"/>
    <w:rsid w:val="00E72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FBC9"/>
  <w15:chartTrackingRefBased/>
  <w15:docId w15:val="{81CEA97D-826C-4296-8251-6D907B94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258A"/>
    <w:pPr>
      <w:widowControl w:val="0"/>
      <w:jc w:val="both"/>
    </w:pPr>
    <w:rPr>
      <w:sz w:val="21"/>
    </w:rPr>
  </w:style>
  <w:style w:type="paragraph" w:styleId="1">
    <w:name w:val="heading 1"/>
    <w:basedOn w:val="a"/>
    <w:next w:val="a"/>
    <w:link w:val="10"/>
    <w:qFormat/>
    <w:rsid w:val="00E7258A"/>
    <w:pPr>
      <w:keepNext/>
      <w:keepLines/>
      <w:spacing w:line="578" w:lineRule="auto"/>
      <w:jc w:val="left"/>
      <w:outlineLvl w:val="0"/>
    </w:pPr>
    <w:rPr>
      <w:b/>
      <w:bCs/>
      <w:kern w:val="44"/>
      <w:sz w:val="24"/>
      <w:szCs w:val="44"/>
    </w:rPr>
  </w:style>
  <w:style w:type="paragraph" w:styleId="3">
    <w:name w:val="heading 3"/>
    <w:basedOn w:val="a"/>
    <w:next w:val="a"/>
    <w:link w:val="30"/>
    <w:unhideWhenUsed/>
    <w:qFormat/>
    <w:rsid w:val="00E7258A"/>
    <w:pPr>
      <w:keepNext/>
      <w:keepLines/>
      <w:spacing w:before="260" w:after="260" w:line="408"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qFormat/>
    <w:rsid w:val="00E7258A"/>
    <w:pPr>
      <w:widowControl/>
      <w:spacing w:after="160" w:line="240" w:lineRule="exact"/>
      <w:jc w:val="left"/>
    </w:pPr>
    <w:rPr>
      <w:rFonts w:ascii="Verdana" w:hAnsi="Verdana"/>
      <w:kern w:val="0"/>
      <w:lang w:eastAsia="en-US"/>
    </w:rPr>
  </w:style>
  <w:style w:type="character" w:customStyle="1" w:styleId="10">
    <w:name w:val="标题 1 字符"/>
    <w:basedOn w:val="a0"/>
    <w:link w:val="1"/>
    <w:rsid w:val="00E7258A"/>
    <w:rPr>
      <w:b/>
      <w:bCs/>
      <w:kern w:val="44"/>
      <w:sz w:val="24"/>
      <w:szCs w:val="44"/>
    </w:rPr>
  </w:style>
  <w:style w:type="paragraph" w:styleId="a3">
    <w:name w:val="header"/>
    <w:basedOn w:val="a"/>
    <w:link w:val="a4"/>
    <w:unhideWhenUsed/>
    <w:qFormat/>
    <w:rsid w:val="00E725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E7258A"/>
    <w:rPr>
      <w:sz w:val="18"/>
      <w:szCs w:val="18"/>
    </w:rPr>
  </w:style>
  <w:style w:type="paragraph" w:styleId="a5">
    <w:name w:val="footer"/>
    <w:basedOn w:val="a"/>
    <w:link w:val="a6"/>
    <w:unhideWhenUsed/>
    <w:qFormat/>
    <w:rsid w:val="00E7258A"/>
    <w:pPr>
      <w:tabs>
        <w:tab w:val="center" w:pos="4153"/>
        <w:tab w:val="right" w:pos="8306"/>
      </w:tabs>
      <w:snapToGrid w:val="0"/>
      <w:jc w:val="left"/>
    </w:pPr>
    <w:rPr>
      <w:sz w:val="18"/>
      <w:szCs w:val="18"/>
    </w:rPr>
  </w:style>
  <w:style w:type="character" w:customStyle="1" w:styleId="a6">
    <w:name w:val="页脚 字符"/>
    <w:basedOn w:val="a0"/>
    <w:link w:val="a5"/>
    <w:qFormat/>
    <w:rsid w:val="00E7258A"/>
    <w:rPr>
      <w:sz w:val="18"/>
      <w:szCs w:val="18"/>
    </w:rPr>
  </w:style>
  <w:style w:type="paragraph" w:styleId="a7">
    <w:name w:val="Document Map"/>
    <w:basedOn w:val="a"/>
    <w:link w:val="a8"/>
    <w:semiHidden/>
    <w:unhideWhenUsed/>
    <w:rsid w:val="00E7258A"/>
    <w:rPr>
      <w:rFonts w:ascii="宋体"/>
      <w:sz w:val="18"/>
      <w:szCs w:val="18"/>
    </w:rPr>
  </w:style>
  <w:style w:type="character" w:customStyle="1" w:styleId="a8">
    <w:name w:val="文档结构图 字符"/>
    <w:basedOn w:val="a0"/>
    <w:link w:val="a7"/>
    <w:semiHidden/>
    <w:rsid w:val="00E7258A"/>
    <w:rPr>
      <w:rFonts w:ascii="宋体"/>
      <w:sz w:val="18"/>
      <w:szCs w:val="18"/>
    </w:rPr>
  </w:style>
  <w:style w:type="paragraph" w:styleId="a9">
    <w:name w:val="Balloon Text"/>
    <w:basedOn w:val="a"/>
    <w:link w:val="aa"/>
    <w:semiHidden/>
    <w:unhideWhenUsed/>
    <w:qFormat/>
    <w:rsid w:val="00E7258A"/>
    <w:rPr>
      <w:sz w:val="18"/>
      <w:szCs w:val="18"/>
    </w:rPr>
  </w:style>
  <w:style w:type="character" w:customStyle="1" w:styleId="aa">
    <w:name w:val="批注框文本 字符"/>
    <w:basedOn w:val="a0"/>
    <w:link w:val="a9"/>
    <w:semiHidden/>
    <w:qFormat/>
    <w:rsid w:val="00E7258A"/>
    <w:rPr>
      <w:sz w:val="18"/>
      <w:szCs w:val="18"/>
    </w:rPr>
  </w:style>
  <w:style w:type="paragraph" w:customStyle="1" w:styleId="CharCharCharCharCharCharCharCharCharChar">
    <w:name w:val="Char Char Char Char Char Char Char Char Char Char"/>
    <w:basedOn w:val="a"/>
    <w:rsid w:val="00E7258A"/>
    <w:rPr>
      <w:sz w:val="24"/>
      <w:szCs w:val="24"/>
    </w:rPr>
  </w:style>
  <w:style w:type="character" w:customStyle="1" w:styleId="ab">
    <w:name w:val="正文文本缩进 字符"/>
    <w:basedOn w:val="a0"/>
    <w:semiHidden/>
    <w:rsid w:val="00E7258A"/>
    <w:rPr>
      <w:sz w:val="21"/>
    </w:rPr>
  </w:style>
  <w:style w:type="character" w:customStyle="1" w:styleId="30">
    <w:name w:val="标题 3 字符"/>
    <w:basedOn w:val="a0"/>
    <w:link w:val="3"/>
    <w:rsid w:val="00E7258A"/>
    <w:rPr>
      <w:b/>
      <w:bCs/>
      <w:sz w:val="32"/>
      <w:szCs w:val="32"/>
    </w:rPr>
  </w:style>
  <w:style w:type="character" w:styleId="ac">
    <w:name w:val="page number"/>
    <w:basedOn w:val="a0"/>
    <w:rsid w:val="00E7258A"/>
  </w:style>
  <w:style w:type="paragraph" w:styleId="ad">
    <w:name w:val="Body Text Indent"/>
    <w:basedOn w:val="a"/>
    <w:link w:val="2"/>
    <w:rsid w:val="00E7258A"/>
    <w:pPr>
      <w:adjustRightInd w:val="0"/>
      <w:spacing w:line="800" w:lineRule="exact"/>
      <w:ind w:firstLineChars="200" w:firstLine="640"/>
    </w:pPr>
    <w:rPr>
      <w:rFonts w:ascii="仿宋_GB2312" w:eastAsia="仿宋_GB2312"/>
      <w:sz w:val="32"/>
      <w:szCs w:val="24"/>
    </w:rPr>
  </w:style>
  <w:style w:type="character" w:customStyle="1" w:styleId="11">
    <w:name w:val="正文文本缩进 字符1"/>
    <w:basedOn w:val="a0"/>
    <w:semiHidden/>
    <w:rsid w:val="00E7258A"/>
    <w:rPr>
      <w:sz w:val="21"/>
    </w:rPr>
  </w:style>
  <w:style w:type="character" w:customStyle="1" w:styleId="2">
    <w:name w:val="正文文本缩进 字符2"/>
    <w:basedOn w:val="a0"/>
    <w:link w:val="ad"/>
    <w:rsid w:val="00E7258A"/>
    <w:rPr>
      <w:rFonts w:ascii="仿宋_GB2312" w:eastAsia="仿宋_GB2312"/>
      <w:sz w:val="32"/>
      <w:szCs w:val="24"/>
    </w:rPr>
  </w:style>
  <w:style w:type="paragraph" w:styleId="ae">
    <w:name w:val="Date"/>
    <w:basedOn w:val="a"/>
    <w:next w:val="a"/>
    <w:link w:val="af"/>
    <w:unhideWhenUsed/>
    <w:rsid w:val="00E7258A"/>
    <w:pPr>
      <w:ind w:leftChars="2500" w:left="100"/>
    </w:pPr>
  </w:style>
  <w:style w:type="character" w:customStyle="1" w:styleId="af">
    <w:name w:val="日期 字符"/>
    <w:basedOn w:val="a0"/>
    <w:link w:val="ae"/>
    <w:rsid w:val="00E7258A"/>
    <w:rPr>
      <w:sz w:val="21"/>
    </w:rPr>
  </w:style>
  <w:style w:type="paragraph" w:styleId="af0">
    <w:name w:val="Normal (Web)"/>
    <w:basedOn w:val="a"/>
    <w:uiPriority w:val="99"/>
    <w:semiHidden/>
    <w:unhideWhenUsed/>
    <w:rsid w:val="00E7258A"/>
    <w:pPr>
      <w:widowControl/>
      <w:spacing w:before="100" w:beforeAutospacing="1" w:after="100" w:afterAutospacing="1"/>
      <w:jc w:val="left"/>
    </w:pPr>
    <w:rPr>
      <w:rFonts w:ascii="宋体" w:hAnsi="宋体"/>
      <w:kern w:val="0"/>
      <w:sz w:val="24"/>
      <w:szCs w:val="24"/>
    </w:rPr>
  </w:style>
  <w:style w:type="character" w:styleId="af1">
    <w:name w:val="Strong"/>
    <w:basedOn w:val="a0"/>
    <w:uiPriority w:val="22"/>
    <w:qFormat/>
    <w:rsid w:val="003865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02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798</Words>
  <Characters>4555</Characters>
  <Application>Microsoft Office Word</Application>
  <DocSecurity>0</DocSecurity>
  <Lines>37</Lines>
  <Paragraphs>10</Paragraphs>
  <ScaleCrop>false</ScaleCrop>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dc:creator>
  <cp:keywords/>
  <dc:description/>
  <cp:lastModifiedBy>SJ</cp:lastModifiedBy>
  <cp:revision>1</cp:revision>
  <dcterms:created xsi:type="dcterms:W3CDTF">2023-03-13T04:51:00Z</dcterms:created>
  <dcterms:modified xsi:type="dcterms:W3CDTF">2023-03-13T04:52:00Z</dcterms:modified>
</cp:coreProperties>
</file>